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26374DCD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</w:t>
      </w:r>
      <w:r w:rsidR="00F62ECD">
        <w:rPr>
          <w:rFonts w:ascii="Arial" w:hAnsi="Arial" w:cs="Arial"/>
          <w:sz w:val="28"/>
          <w:szCs w:val="28"/>
        </w:rPr>
        <w:t> </w:t>
      </w:r>
      <w:r w:rsidR="003E1F3F" w:rsidRPr="00644C19">
        <w:rPr>
          <w:rFonts w:ascii="Arial" w:hAnsi="Arial" w:cs="Arial"/>
          <w:sz w:val="28"/>
          <w:szCs w:val="28"/>
        </w:rPr>
        <w:t>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9B6143">
        <w:rPr>
          <w:rFonts w:ascii="Arial" w:hAnsi="Arial" w:cs="Arial"/>
          <w:sz w:val="28"/>
          <w:szCs w:val="28"/>
        </w:rPr>
        <w:t>3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9B6143">
        <w:rPr>
          <w:rFonts w:ascii="Arial" w:hAnsi="Arial" w:cs="Arial"/>
          <w:sz w:val="28"/>
          <w:szCs w:val="28"/>
        </w:rPr>
        <w:t>Havlíčkobrodsko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0AAC9F5C" w:rsidR="002577AB" w:rsidRPr="00385148" w:rsidRDefault="009B614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Červenec</w:t>
      </w:r>
      <w:r w:rsidR="00056F78">
        <w:rPr>
          <w:rFonts w:ascii="Arial" w:hAnsi="Arial" w:cs="Arial"/>
        </w:rPr>
        <w:t xml:space="preserve"> 2023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128246F4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</w:t>
      </w:r>
      <w:r w:rsidR="00F62ECD">
        <w:rPr>
          <w:rFonts w:ascii="Arial" w:hAnsi="Arial" w:cs="Arial"/>
        </w:rPr>
        <w:t> </w:t>
      </w:r>
      <w:r w:rsidRPr="00456A0D">
        <w:rPr>
          <w:rFonts w:ascii="Arial" w:hAnsi="Arial" w:cs="Arial"/>
        </w:rPr>
        <w:t>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2AE8B33E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</w:t>
      </w:r>
      <w:r w:rsidR="00F62ECD">
        <w:rPr>
          <w:rFonts w:cs="Arial"/>
        </w:rPr>
        <w:t> </w:t>
      </w:r>
      <w:r w:rsidRPr="00456A0D">
        <w:rPr>
          <w:rFonts w:cs="Arial"/>
        </w:rPr>
        <w:t>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proofErr w:type="gramStart"/>
      <w:r w:rsidRPr="00456A0D">
        <w:rPr>
          <w:rFonts w:cs="Arial"/>
        </w:rPr>
        <w:t>eShop</w:t>
      </w:r>
      <w:proofErr w:type="spellEnd"/>
      <w:proofErr w:type="gram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proofErr w:type="gramStart"/>
      <w:r w:rsidRPr="00456A0D">
        <w:rPr>
          <w:rFonts w:ascii="Arial" w:hAnsi="Arial" w:cs="Arial"/>
        </w:rPr>
        <w:t>eShop</w:t>
      </w:r>
      <w:proofErr w:type="spellEnd"/>
      <w:proofErr w:type="gram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790CBE5" w14:textId="1D77D2C9" w:rsidR="00F62ECD" w:rsidRPr="00456A0D" w:rsidRDefault="00F62ECD" w:rsidP="00F62ECD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svý</w:t>
      </w:r>
      <w:r>
        <w:rPr>
          <w:rFonts w:ascii="Arial" w:hAnsi="Arial" w:cs="Arial"/>
        </w:rPr>
        <w:t>ch</w:t>
      </w:r>
      <w:r w:rsidRPr="00456A0D">
        <w:rPr>
          <w:rFonts w:ascii="Arial" w:hAnsi="Arial" w:cs="Arial"/>
        </w:rPr>
        <w:t xml:space="preserve"> oblast</w:t>
      </w:r>
      <w:r>
        <w:rPr>
          <w:rFonts w:ascii="Arial" w:hAnsi="Arial" w:cs="Arial"/>
        </w:rPr>
        <w:t>ech uvedených v </w:t>
      </w:r>
      <w:r>
        <w:rPr>
          <w:rFonts w:ascii="Arial" w:hAnsi="Arial" w:cs="Arial"/>
        </w:rPr>
        <w:t>odstavci</w:t>
      </w:r>
      <w:r>
        <w:rPr>
          <w:rFonts w:ascii="Arial" w:hAnsi="Arial" w:cs="Arial"/>
        </w:rPr>
        <w:t xml:space="preserve"> 2.1</w:t>
      </w:r>
      <w:r>
        <w:rPr>
          <w:rFonts w:ascii="Arial" w:hAnsi="Arial" w:cs="Arial"/>
        </w:rPr>
        <w:t xml:space="preserve"> tohoto dokumentu</w:t>
      </w:r>
      <w:r>
        <w:rPr>
          <w:rFonts w:ascii="Arial" w:hAnsi="Arial" w:cs="Arial"/>
        </w:rPr>
        <w:t>.</w:t>
      </w:r>
    </w:p>
    <w:p w14:paraId="73808DBD" w14:textId="77777777" w:rsidR="00F62ECD" w:rsidRPr="00456A0D" w:rsidRDefault="00F62ECD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010567D1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7670165B" w14:textId="77777777" w:rsidR="009B6143" w:rsidRPr="00456A0D" w:rsidRDefault="009B6143" w:rsidP="009B614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Havlíčkův Brod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45169679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0E976BB6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620BF118" w14:textId="77777777" w:rsidR="009B6143" w:rsidRPr="00456A0D" w:rsidRDefault="009B6143" w:rsidP="009B6143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proofErr w:type="spellStart"/>
      <w:proofErr w:type="gramStart"/>
      <w:r w:rsidRPr="00456A0D">
        <w:rPr>
          <w:rFonts w:cs="Arial"/>
          <w:shd w:val="clear" w:color="auto" w:fill="FFFFFF"/>
        </w:rPr>
        <w:t>Štáflova</w:t>
      </w:r>
      <w:proofErr w:type="spellEnd"/>
      <w:r w:rsidRPr="00456A0D">
        <w:rPr>
          <w:rFonts w:cs="Arial"/>
          <w:shd w:val="clear" w:color="auto" w:fill="FFFFFF"/>
        </w:rPr>
        <w:t xml:space="preserve"> - Boženy</w:t>
      </w:r>
      <w:proofErr w:type="gramEnd"/>
      <w:r w:rsidRPr="00456A0D">
        <w:rPr>
          <w:rFonts w:cs="Arial"/>
          <w:shd w:val="clear" w:color="auto" w:fill="FFFFFF"/>
        </w:rPr>
        <w:t xml:space="preserve"> Němcové - Na Valech - Žižkova - Dolní - Masarykova - Na Hradbách - Beckovského – Husova - </w:t>
      </w: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4C03A3D1" w14:textId="77777777" w:rsidR="009B6143" w:rsidRPr="00456A0D" w:rsidRDefault="009B6143" w:rsidP="009B614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42B05F05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Chotěboř,,</w:t>
      </w:r>
      <w:proofErr w:type="gramEnd"/>
      <w:r w:rsidRPr="00456A0D">
        <w:rPr>
          <w:rFonts w:cs="Arial"/>
        </w:rPr>
        <w:t>nám</w:t>
      </w:r>
      <w:proofErr w:type="spellEnd"/>
      <w:r w:rsidRPr="00456A0D">
        <w:rPr>
          <w:rFonts w:cs="Arial"/>
        </w:rPr>
        <w:t>. TGM</w:t>
      </w:r>
    </w:p>
    <w:p w14:paraId="033A1158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65B81E3B" w14:textId="77777777" w:rsidR="009B6143" w:rsidRPr="00456A0D" w:rsidRDefault="009B6143" w:rsidP="009B6143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proofErr w:type="spellStart"/>
      <w:r w:rsidR="00000000">
        <w:fldChar w:fldCharType="begin"/>
      </w:r>
      <w:r w:rsidR="00000000">
        <w:instrText>HYPERLINK "http://f.x.svobody/" \t "_blank"</w:instrText>
      </w:r>
      <w:r w:rsidR="00000000">
        <w:fldChar w:fldCharType="separate"/>
      </w:r>
      <w:r w:rsidRPr="00456A0D">
        <w:rPr>
          <w:rFonts w:cs="Arial"/>
          <w:shd w:val="clear" w:color="auto" w:fill="FFFFFF"/>
        </w:rPr>
        <w:t>F.X.Svobody</w:t>
      </w:r>
      <w:proofErr w:type="spellEnd"/>
      <w:r w:rsidR="00000000">
        <w:rPr>
          <w:rFonts w:cs="Arial"/>
          <w:shd w:val="clear" w:color="auto" w:fill="FFFFFF"/>
        </w:rPr>
        <w:fldChar w:fldCharType="end"/>
      </w:r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 xml:space="preserve">- </w:t>
      </w:r>
      <w:proofErr w:type="spellStart"/>
      <w:r w:rsidRPr="00456A0D">
        <w:rPr>
          <w:rFonts w:cs="Arial"/>
          <w:shd w:val="clear" w:color="auto" w:fill="FFFFFF"/>
        </w:rPr>
        <w:t>Ningerova</w:t>
      </w:r>
      <w:proofErr w:type="spellEnd"/>
      <w:r w:rsidRPr="00456A0D">
        <w:rPr>
          <w:rFonts w:cs="Arial"/>
          <w:shd w:val="clear" w:color="auto" w:fill="FFFFFF"/>
        </w:rPr>
        <w:t xml:space="preserve"> – Rybní – Lazební – Hromádky z Jistebnice – V Drážkách</w:t>
      </w:r>
    </w:p>
    <w:p w14:paraId="32235707" w14:textId="77777777" w:rsidR="009B6143" w:rsidRPr="00456A0D" w:rsidRDefault="009B6143" w:rsidP="009B614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lastRenderedPageBreak/>
        <w:t>Světlá nad Sázavou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10CE81AF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Světlá nad Sázavou</w:t>
      </w:r>
    </w:p>
    <w:p w14:paraId="5D51DDC1" w14:textId="77777777" w:rsidR="009B6143" w:rsidRPr="00456A0D" w:rsidRDefault="009B6143" w:rsidP="009B61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8B52462" w14:textId="77777777" w:rsidR="009B6143" w:rsidRPr="00456A0D" w:rsidRDefault="009B6143" w:rsidP="009B6143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Školní – </w:t>
      </w:r>
      <w:proofErr w:type="spellStart"/>
      <w:r w:rsidRPr="00456A0D">
        <w:rPr>
          <w:rFonts w:cs="Arial"/>
        </w:rPr>
        <w:t>Lánecká</w:t>
      </w:r>
      <w:proofErr w:type="spellEnd"/>
      <w:r w:rsidRPr="00456A0D">
        <w:rPr>
          <w:rFonts w:cs="Arial"/>
        </w:rPr>
        <w:t xml:space="preserve"> – nám. Trčků z Lípy – Nádražní – Komenského – Školní</w:t>
      </w: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644C19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B91CE" w14:textId="77777777" w:rsidR="00C47CEC" w:rsidRDefault="00C47CEC" w:rsidP="001C33B7">
      <w:pPr>
        <w:spacing w:after="0" w:line="240" w:lineRule="auto"/>
      </w:pPr>
      <w:r>
        <w:separator/>
      </w:r>
    </w:p>
  </w:endnote>
  <w:endnote w:type="continuationSeparator" w:id="0">
    <w:p w14:paraId="2C55175A" w14:textId="77777777" w:rsidR="00C47CEC" w:rsidRDefault="00C47CEC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44825EF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FCC">
          <w:rPr>
            <w:noProof/>
          </w:rPr>
          <w:t>6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172A" w14:textId="77777777" w:rsidR="00C47CEC" w:rsidRDefault="00C47CEC" w:rsidP="001C33B7">
      <w:pPr>
        <w:spacing w:after="0" w:line="240" w:lineRule="auto"/>
      </w:pPr>
      <w:r>
        <w:separator/>
      </w:r>
    </w:p>
  </w:footnote>
  <w:footnote w:type="continuationSeparator" w:id="0">
    <w:p w14:paraId="108930D4" w14:textId="77777777" w:rsidR="00C47CEC" w:rsidRDefault="00C47CEC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973212960">
    <w:abstractNumId w:val="0"/>
  </w:num>
  <w:num w:numId="2" w16cid:durableId="1335453046">
    <w:abstractNumId w:val="1"/>
  </w:num>
  <w:num w:numId="3" w16cid:durableId="638656857">
    <w:abstractNumId w:val="4"/>
  </w:num>
  <w:num w:numId="4" w16cid:durableId="1977253296">
    <w:abstractNumId w:val="2"/>
  </w:num>
  <w:num w:numId="5" w16cid:durableId="5064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C33B7"/>
    <w:rsid w:val="002577AB"/>
    <w:rsid w:val="002E4284"/>
    <w:rsid w:val="0036653D"/>
    <w:rsid w:val="00385148"/>
    <w:rsid w:val="003E1F3F"/>
    <w:rsid w:val="004544BD"/>
    <w:rsid w:val="005B6002"/>
    <w:rsid w:val="00644C19"/>
    <w:rsid w:val="00701683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70718"/>
    <w:rsid w:val="00BC38B3"/>
    <w:rsid w:val="00BC7986"/>
    <w:rsid w:val="00C47CEC"/>
    <w:rsid w:val="00C82C4C"/>
    <w:rsid w:val="00D00BE0"/>
    <w:rsid w:val="00E12698"/>
    <w:rsid w:val="00EA3606"/>
    <w:rsid w:val="00ED5228"/>
    <w:rsid w:val="00F35277"/>
    <w:rsid w:val="00F62ECD"/>
    <w:rsid w:val="00F9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1762B-AEEF-4E5E-8912-FC104DB8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1083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Simona Hladká</cp:lastModifiedBy>
  <cp:revision>2</cp:revision>
  <dcterms:created xsi:type="dcterms:W3CDTF">2023-08-07T15:37:00Z</dcterms:created>
  <dcterms:modified xsi:type="dcterms:W3CDTF">2023-08-07T15:37:00Z</dcterms:modified>
</cp:coreProperties>
</file>